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43" w:rsidRPr="00962043" w:rsidRDefault="00962043" w:rsidP="00962043">
      <w:pPr>
        <w:pStyle w:val="11"/>
        <w:jc w:val="right"/>
        <w:rPr>
          <w:sz w:val="28"/>
          <w:szCs w:val="28"/>
        </w:rPr>
      </w:pPr>
      <w:proofErr w:type="gramStart"/>
      <w:r w:rsidRPr="00962043">
        <w:rPr>
          <w:sz w:val="28"/>
          <w:szCs w:val="28"/>
        </w:rPr>
        <w:t>Утверждены</w:t>
      </w:r>
      <w:proofErr w:type="gramEnd"/>
      <w:r w:rsidRPr="00962043">
        <w:rPr>
          <w:sz w:val="28"/>
          <w:szCs w:val="28"/>
        </w:rPr>
        <w:t xml:space="preserve"> Приказом </w:t>
      </w:r>
    </w:p>
    <w:p w:rsidR="00962043" w:rsidRPr="00962043" w:rsidRDefault="00962043" w:rsidP="00962043">
      <w:pPr>
        <w:pStyle w:val="11"/>
        <w:jc w:val="right"/>
        <w:rPr>
          <w:sz w:val="28"/>
          <w:szCs w:val="28"/>
        </w:rPr>
      </w:pPr>
      <w:r w:rsidRPr="00962043">
        <w:rPr>
          <w:sz w:val="28"/>
          <w:szCs w:val="28"/>
        </w:rPr>
        <w:t>Генерального директор</w:t>
      </w:r>
      <w:proofErr w:type="gramStart"/>
      <w:r w:rsidRPr="00962043">
        <w:rPr>
          <w:sz w:val="28"/>
          <w:szCs w:val="28"/>
        </w:rPr>
        <w:t>а ООО</w:t>
      </w:r>
      <w:proofErr w:type="gramEnd"/>
      <w:r w:rsidRPr="00962043">
        <w:rPr>
          <w:sz w:val="28"/>
          <w:szCs w:val="28"/>
        </w:rPr>
        <w:t xml:space="preserve"> «Парк» </w:t>
      </w:r>
    </w:p>
    <w:p w:rsidR="00962043" w:rsidRDefault="00962043" w:rsidP="0096204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2043">
        <w:rPr>
          <w:rFonts w:ascii="Times New Roman" w:hAnsi="Times New Roman" w:cs="Times New Roman"/>
          <w:b/>
          <w:sz w:val="28"/>
          <w:szCs w:val="28"/>
        </w:rPr>
        <w:t>От 01.09.2023 года</w:t>
      </w:r>
    </w:p>
    <w:p w:rsidR="00962043" w:rsidRDefault="00962043" w:rsidP="00962043">
      <w:pPr>
        <w:spacing w:after="0" w:line="240" w:lineRule="auto"/>
        <w:jc w:val="right"/>
        <w:outlineLvl w:val="0"/>
        <w:rPr>
          <w:rFonts w:ascii="FontRegular" w:eastAsia="Times New Roman" w:hAnsi="FontRegular" w:cs="Times New Roman"/>
          <w:b/>
          <w:bCs/>
          <w:kern w:val="36"/>
          <w:sz w:val="54"/>
          <w:szCs w:val="54"/>
          <w:lang w:eastAsia="ru-RU"/>
        </w:rPr>
      </w:pPr>
    </w:p>
    <w:p w:rsidR="005A2FEE" w:rsidRDefault="00573C02" w:rsidP="00573C02">
      <w:pPr>
        <w:spacing w:after="0" w:line="240" w:lineRule="auto"/>
        <w:jc w:val="center"/>
        <w:outlineLvl w:val="0"/>
        <w:rPr>
          <w:rFonts w:ascii="FontRegular" w:eastAsia="Times New Roman" w:hAnsi="FontRegular" w:cs="Times New Roman"/>
          <w:b/>
          <w:bCs/>
          <w:kern w:val="36"/>
          <w:sz w:val="54"/>
          <w:szCs w:val="54"/>
          <w:lang w:eastAsia="ru-RU"/>
        </w:rPr>
      </w:pPr>
      <w:r w:rsidRPr="00573C02">
        <w:rPr>
          <w:rFonts w:ascii="FontRegular" w:eastAsia="Times New Roman" w:hAnsi="FontRegular" w:cs="Times New Roman"/>
          <w:b/>
          <w:bCs/>
          <w:kern w:val="36"/>
          <w:sz w:val="54"/>
          <w:szCs w:val="54"/>
          <w:lang w:eastAsia="ru-RU"/>
        </w:rPr>
        <w:t xml:space="preserve">Правила </w:t>
      </w:r>
    </w:p>
    <w:p w:rsidR="005A2FEE" w:rsidRDefault="00573C02" w:rsidP="00573C02">
      <w:pPr>
        <w:spacing w:after="0" w:line="240" w:lineRule="auto"/>
        <w:jc w:val="center"/>
        <w:outlineLvl w:val="0"/>
        <w:rPr>
          <w:rFonts w:ascii="FontRegular" w:eastAsia="Times New Roman" w:hAnsi="FontRegular" w:cs="Times New Roman"/>
          <w:b/>
          <w:bCs/>
          <w:kern w:val="36"/>
          <w:sz w:val="54"/>
          <w:szCs w:val="54"/>
          <w:lang w:eastAsia="ru-RU"/>
        </w:rPr>
      </w:pPr>
      <w:r w:rsidRPr="00573C02">
        <w:rPr>
          <w:rFonts w:ascii="FontRegular" w:eastAsia="Times New Roman" w:hAnsi="FontRegular" w:cs="Times New Roman"/>
          <w:b/>
          <w:bCs/>
          <w:kern w:val="36"/>
          <w:sz w:val="54"/>
          <w:szCs w:val="54"/>
          <w:lang w:eastAsia="ru-RU"/>
        </w:rPr>
        <w:t xml:space="preserve">выдачи и использования </w:t>
      </w:r>
    </w:p>
    <w:p w:rsidR="00573C02" w:rsidRDefault="00573C02" w:rsidP="00573C02">
      <w:pPr>
        <w:spacing w:after="0" w:line="240" w:lineRule="auto"/>
        <w:jc w:val="center"/>
        <w:outlineLvl w:val="0"/>
        <w:rPr>
          <w:rFonts w:ascii="FontRegular" w:eastAsia="Times New Roman" w:hAnsi="FontRegular" w:cs="Times New Roman"/>
          <w:b/>
          <w:bCs/>
          <w:kern w:val="36"/>
          <w:sz w:val="54"/>
          <w:szCs w:val="54"/>
          <w:lang w:eastAsia="ru-RU"/>
        </w:rPr>
      </w:pPr>
      <w:r w:rsidRPr="00573C02">
        <w:rPr>
          <w:rFonts w:ascii="FontRegular" w:eastAsia="Times New Roman" w:hAnsi="FontRegular" w:cs="Times New Roman"/>
          <w:b/>
          <w:bCs/>
          <w:kern w:val="36"/>
          <w:sz w:val="54"/>
          <w:szCs w:val="54"/>
          <w:lang w:eastAsia="ru-RU"/>
        </w:rPr>
        <w:t>платежных карт</w:t>
      </w:r>
    </w:p>
    <w:p w:rsidR="00D515DC" w:rsidRPr="00573C02" w:rsidRDefault="00D515DC" w:rsidP="00573C02">
      <w:pPr>
        <w:spacing w:after="0" w:line="240" w:lineRule="auto"/>
        <w:jc w:val="center"/>
        <w:outlineLvl w:val="0"/>
        <w:rPr>
          <w:rFonts w:ascii="FontRegular" w:eastAsia="Times New Roman" w:hAnsi="FontRegular" w:cs="Times New Roman"/>
          <w:b/>
          <w:bCs/>
          <w:kern w:val="36"/>
          <w:sz w:val="54"/>
          <w:szCs w:val="54"/>
          <w:lang w:eastAsia="ru-RU"/>
        </w:rPr>
      </w:pPr>
    </w:p>
    <w:p w:rsidR="003D632D" w:rsidRDefault="003D632D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Настоящие Правила регламентируют порядок покупки, пользования, возврата платежных карт, остатка неиспользованных денежных средств на платежной карте и являются неотъемлемой частью правил посещения </w:t>
      </w:r>
      <w:r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Центрального парка культуры и  отдыха города Волгограда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13B2A" w:rsidRDefault="003D632D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Лицо, приобретающее, владеющее и пользующееся платежной картой обязуется ознакомиться и неукоснительно соблюдать положения настоящих правил.</w:t>
      </w:r>
    </w:p>
    <w:p w:rsidR="00F13B2A" w:rsidRDefault="00573C02" w:rsidP="00D50FA2">
      <w:pPr>
        <w:spacing w:after="0" w:line="240" w:lineRule="auto"/>
        <w:jc w:val="center"/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  <w:t>Определения, используемые в Правилах:</w:t>
      </w:r>
    </w:p>
    <w:p w:rsidR="00AC6CE4" w:rsidRPr="00D50FA2" w:rsidRDefault="00AC6CE4" w:rsidP="00D50FA2">
      <w:pPr>
        <w:spacing w:after="0" w:line="240" w:lineRule="auto"/>
        <w:jc w:val="center"/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F13B2A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  <w:t>Парк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r w:rsidR="00F13B2A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Центральный парк культуры и отдыха, расположенный по адресу: город Волгоград,  улица Батальонная, 4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55B9F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73C02"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  <w:t>Платежная карта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пластиковая карта с чипом «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Game-keeper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», с нанесенным на нее уникальным кодом и индивидуальным номером, позволяющая оплачивать услуги посещения всех функционирующих аттракционов на территории парка, оснащенных стационарными и/или мобильными считывателями, в день приобретения карты и на протяжении всего срока ее действия, который является неограниченным, посредством снятия с нее денежных средств, согласно утвержденной стоимости.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  <w:t>Владелец карты клиента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лицо, владеющее картой.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  <w:t>Анкета владельца карты клиента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анкета, содержащая информацию о владельце карты в виде ФИО, даты рождения и способа связи с ним (номер мобильного телефона либо адреса электронной почты). Анкета служит для идентификации карты с ее владельцем, а также для отправки чека на электронную почту владельца карты. В случае потери или кражи карты, владелец имеет право на приобретение новой карты с переносом на нее остатка денежных средств. Заполнение анкеты является обязательным для привязки карты к владельцу. При отсутствии заполненной анкеты, претензии по переносу денежных средств с потерянной карты на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новую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, не принимаются.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>1. Порядок приобретения и использования платежных карт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1.1 Физические и юридические лица имеют возможность приобрести платежные карты на посещение </w:t>
      </w:r>
      <w:r w:rsidR="00255B9F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аттракционов и объектов Парка.</w:t>
      </w:r>
    </w:p>
    <w:p w:rsidR="006B4E43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1.2 Стоимость Платежных карт и услуг посещения функционирующих аттракционов </w:t>
      </w:r>
      <w:r w:rsidR="00CD6C6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 объектов 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определяется действующими тарифами, утвержденными Администрацией Парка и размещенными на информационных стендах, находящихся на территории Парка.</w:t>
      </w:r>
    </w:p>
    <w:p w:rsidR="000D7BCB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1.3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ри покупке и пополнении платежной карты посетителю выдается кассовый чек на руки, либо отправляется на электронную почту, указанную в анкете владельца карты.</w:t>
      </w:r>
    </w:p>
    <w:p w:rsidR="006B4E43" w:rsidRDefault="006B4E43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35CE2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1.4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ри получении платежной карты посетителю предлагается заполнить Анкету, в которой он дает свое согласие и разрешает Администрации парка осуществлять обработку всех переданных персональных данных, указанных в Анкете, включая их сбор и систематизацию, накопление, хранение, уточнение и иное использование. Указанное согласие владелец карты предоставляет бессрочно, при этом оно может быть отозвано направлением письменного заявления почтовым отправлением с описью вложения, либо вручения лично под роспись уполномоченному представителю Администрации Парка.</w:t>
      </w:r>
    </w:p>
    <w:p w:rsidR="00635CE2" w:rsidRDefault="00635CE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</w:pPr>
    </w:p>
    <w:p w:rsidR="00C06BA6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1.5 </w:t>
      </w:r>
      <w:r w:rsidRPr="00573C02"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  <w:t>Владелец платежной карты имеет право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C06BA6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на получение достоверной информации о стоимости услуг на аттракционах, стоимости платежной карты, порядке ее пользования, условиях ее приобретения, хранения, срока действия, проверки баланса, порядке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возврата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самой карты, так и неиспользованного остатка денежных средств на ней;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на получение информации о режиме работы Парка;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на получение информации о перечне работающих аттракционах, оснащенных стационарными и/или мобильными считывателями;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на получение разъяснений по вопросам, возникающим в ходе пребывания в Парке от администратора, операторов аттракционов, либо иных, уполномоченных лиц Администрации Парка;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пользоваться услугами аттракционов, оснащенных стационарными и/или мобильными считывателями в любой день в рамках сезона и в рамках установленного режима работы Парка при наличии достаточных денежных средств на платежной карте, в соответствии с правилами посещения парка и правилами посещения каждого аттракциона по отдельности;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пользоваться услугами общественного туалета, находящегося на территории Парка, в соответствии с утвержденной стоимостью;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пополнять платежную карту в кассах Парка;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на возврат неиспользованного остатка денежных средств на платежной карте;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передавать платежную карту другим лицам для использования в целях посещений функционирующих аттракционов;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узнавать баланс на платежной карте в кассе на территории парка аттракционов;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на возврат или замену платежной карты в момент покупки, в случае если на ней имеются механические повреждения, либо присутствует брак в работе чипа.</w:t>
      </w:r>
    </w:p>
    <w:p w:rsidR="00C06BA6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lastRenderedPageBreak/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1.6 </w:t>
      </w:r>
      <w:r w:rsidRPr="00573C02">
        <w:rPr>
          <w:rFonts w:ascii="FontRegular" w:eastAsia="Times New Roman" w:hAnsi="FontRegular" w:cs="Times New Roman"/>
          <w:b/>
          <w:color w:val="000000"/>
          <w:sz w:val="27"/>
          <w:szCs w:val="27"/>
          <w:shd w:val="clear" w:color="auto" w:fill="FFFFFF"/>
          <w:lang w:eastAsia="ru-RU"/>
        </w:rPr>
        <w:t>Владелец платежной карты обязан:</w:t>
      </w:r>
    </w:p>
    <w:p w:rsidR="00C06BA6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ознакомиться и неукоснительно соблюдать положения настоящих правил, правил посещения парка аттракционов (правила посещения каждого аттракциона по отдельности);</w:t>
      </w:r>
    </w:p>
    <w:p w:rsidR="00C06BA6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содержать платежную карту в надлежащем состоянии: без порезов, проколов и иных повреждений;</w:t>
      </w:r>
    </w:p>
    <w:p w:rsidR="006B4E43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при приобретении платежной карты, проверить ее состояние.</w:t>
      </w:r>
    </w:p>
    <w:p w:rsidR="00C06BA6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1.7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риобретая (получая) платежную карту, ее Владелец дает согласие на соблюдение правил и условий посещения аттракционов </w:t>
      </w:r>
      <w:r w:rsidR="00C06BA6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объектов Парка 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и несет полную ответственность за их нарушение в соответствии с настоящими правилами и действующим законодательством РФ.</w:t>
      </w:r>
    </w:p>
    <w:p w:rsidR="00C06BA6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>2. Порядок доступа на аттракционы</w:t>
      </w:r>
    </w:p>
    <w:p w:rsidR="003C5997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2.1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целях получения услуг на функционирующих аттракционах Парка гостю необходимо: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приобрести платежную карту в кассе парка аттракционов, согласно утвержденной стоимости;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внести на платежную карту в кассе парка аттракционов сумму (наличным или безналичным расчетом), достаточную для оплаты услуг посещения аттракционов;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2.2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ля получения услуги на отдельно взятом аттракционе, Владельцу платежной карты необходимо обратиться к оператору данного аттракциона и в его присутствии поднести карту к стационарному или (при наличии) мобильному считывателю. При достаточном балансе на платежной карте для оплаты услуги посещения аттракциона на стационарном считывателе подается световой сигнал, тем самым владельцу карты открыт доступ на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игровую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аттракцион.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>3. Ответственность Администрации Парка и Владельцев карт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3.1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ри посещении Парка и пользовании услугами досуга на территории </w:t>
      </w:r>
      <w:r w:rsidR="0022449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Парка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, Владелец платежной карты осознает и принимает риски, связанные с посещением Парка и пользованием услугами, а также несет ответственность за свою собственную безопасность и за сопровождаемых им детей.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3.2 Парк не несет ответственность перед Владельцем платежной карты в случае, когда ее владелец не может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воспользоваться услугам игровых площадок аттракционов Парка по причинам, не связанным с действиями Парка, как то: утрата платежной карты, повреждение платежной карты, подделка платежной карты третьим лицом с ведома владельца или без такового, с целью прохода на аттракционы Парка, ограничений на посещение отдельных аттракционов, указанных в правилах пользования аттракционом и подобное.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3.3 Администрация Парка оставляет за собой право организовывать, планировать, ограничивать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закрывать доступ посетителей в отдельные зоны и на отдельные аттракционы Парка. Возможно временное/постоянное прекращение доступа в отдельные зоны, полное закрытие Парка по техническим 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причинам и обстоятельствам непреодолимой силы, из-за погодных условий, в целях безопасности или проведения работ.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Возможно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закрытие аттракционов на техническое обслуживание или по причине неблагоприятных погодных условий в течение рабочего дня Парка. Вышеперечисленное не дает права на возмещение стоимости услуг на аттракционы, однако позволяет воспользоваться услугой в любой другой день.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3.4 Администрация Парка не несет ответственность за невыполнение какого-либо обязательства в соответствии с настоящими правилами, в случае, если причиной такого невыполнение явились обстоятельства непреодолимой силы.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3.5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исключением случаев, предусмотренных законодательством РФ, Администрация Парка не несет ответственность перед владельцем платежной карты в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размере, превышающем номинальную стоимость приобретенной карты и стоимости услуг на аттракционах.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3.6 Администрация Парка не несет ответственность перед владельцем платежной карты в случае утери, кражи, повреждения платежной карты, приобретения поддельной платежной карты вне касс, расположенных на территории Парка и не компенсирует стоимость карты в таких случаях.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>4.</w:t>
      </w:r>
      <w:proofErr w:type="gramEnd"/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 xml:space="preserve"> Заключительные положения</w:t>
      </w:r>
    </w:p>
    <w:p w:rsidR="0031482A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4.1 Информация о стоимости услуг на аттракционы, стоимости платежной карты размещены на информационных стендах на территории Парка.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4.2 Экземпляры настоящих правил находятся на касс</w:t>
      </w:r>
      <w:r w:rsidR="00642FDD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ах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42FDD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арка  и предъявляются посетителям для ознакомления по первому требованию.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4.3 Парк оставляет за собой право вносить изменения в настоящие правила в одностороннем порядке; такие изменения вступают в силу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с даты размещения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обновленной версии правил на кассах </w:t>
      </w:r>
      <w:r w:rsidR="0031482A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арка</w:t>
      </w:r>
      <w:r w:rsidR="0031482A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4.4 Положения настоящих правил составлены в соответствии с нормами законодательства РФ. Любые споры, возникающие из правоотношений, регулируемых настоящими правилами, подлежат разрешению в претензионном порядке, срок рассмотрения претензии составляет 10 (десять) календарных дней с момента ее получения.</w:t>
      </w:r>
    </w:p>
    <w:p w:rsidR="0031482A" w:rsidRDefault="0031482A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835F0" w:rsidRDefault="00573C02" w:rsidP="00D835F0">
      <w:pPr>
        <w:spacing w:after="0" w:line="240" w:lineRule="auto"/>
        <w:jc w:val="center"/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</w:pPr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>Как работает карта клиента</w:t>
      </w:r>
    </w:p>
    <w:p w:rsidR="00D835F0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Получите платежную карту в кассе </w:t>
      </w:r>
      <w:r w:rsidR="00D835F0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арка.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2. Внесите на платежную карту любую сумму, предназначенную для оплаты пользования игровыми площадками. Пополнить баланс платежной карты возможно следующим способом:</w:t>
      </w:r>
    </w:p>
    <w:p w:rsidR="00D835F0" w:rsidRDefault="00D835F0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 в кассах П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арка наличным или безналичным расчетом,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отсканировав </w:t>
      </w:r>
      <w:proofErr w:type="spellStart"/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Qr-code</w:t>
      </w:r>
      <w:proofErr w:type="spellEnd"/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размещенный</w:t>
      </w:r>
      <w:proofErr w:type="gramEnd"/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лицевой стороне карты.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3. Выбрав понравившийся аттракцион, передайте карту контролеру-оператору, который поднесет ее к считывателю и пропустит Вас на территорию аттракциона.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4. Узнать свой баланс на платежной карте Вы можете в касс</w:t>
      </w:r>
      <w:r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ах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арка. После посещения Вы можете оставить платежную карту у себя и пользоваться ей при следующих посещениях </w:t>
      </w:r>
      <w:r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арка. Картой могут пользоваться ваши друзья, родственники и коллеги.</w:t>
      </w:r>
    </w:p>
    <w:p w:rsidR="00D835F0" w:rsidRDefault="00573C02" w:rsidP="00D835F0">
      <w:pPr>
        <w:spacing w:after="0" w:line="240" w:lineRule="auto"/>
        <w:jc w:val="center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lastRenderedPageBreak/>
        <w:t>Оплата банковскими картами через сайт</w:t>
      </w:r>
    </w:p>
    <w:p w:rsidR="00292FBA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Для выбора оплаты товара он-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лайн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помощью банковской карты - при оформлении заказа необходимо выбрать способ оплаты «Онлайн оплата банковской картой».</w:t>
      </w:r>
      <w:r w:rsidR="00292FBA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292FBA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Оплата происходит через ПАО СБЕРБАНК с использованием Банковских карт следующих платежных систем:</w:t>
      </w:r>
    </w:p>
    <w:p w:rsidR="00292FBA" w:rsidRPr="00292FBA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МИР</w:t>
      </w:r>
    </w:p>
    <w:p w:rsidR="00292FBA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val="en-US" w:eastAsia="ru-RU"/>
        </w:rPr>
        <w:t>- VISA International</w:t>
      </w:r>
    </w:p>
    <w:p w:rsidR="00292FBA" w:rsidRDefault="00573C02" w:rsidP="00D515DC">
      <w:pPr>
        <w:spacing w:after="0" w:line="240" w:lineRule="auto"/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val="en-US" w:eastAsia="ru-RU"/>
        </w:rPr>
        <w:t>Mastercard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</w:p>
    <w:p w:rsidR="00573C02" w:rsidRPr="00573C02" w:rsidRDefault="00292FBA" w:rsidP="00D5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val="en-US" w:eastAsia="ru-RU"/>
        </w:rPr>
        <w:t>Worldwide</w:t>
      </w:r>
      <w:r w:rsidR="00573C02" w:rsidRPr="00573C02">
        <w:rPr>
          <w:rFonts w:ascii="FontRegular" w:eastAsia="Times New Roman" w:hAnsi="FontRegular" w:cs="Times New Roman"/>
          <w:color w:val="000000"/>
          <w:sz w:val="27"/>
          <w:szCs w:val="27"/>
          <w:lang w:val="en-US" w:eastAsia="ru-RU"/>
        </w:rPr>
        <w:br/>
      </w:r>
    </w:p>
    <w:p w:rsidR="00573C02" w:rsidRPr="00573C02" w:rsidRDefault="00573C02" w:rsidP="00D515DC">
      <w:pPr>
        <w:spacing w:before="100" w:beforeAutospacing="1" w:after="100" w:afterAutospacing="1" w:line="345" w:lineRule="atLeast"/>
        <w:jc w:val="both"/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</w:pPr>
      <w:r>
        <w:rPr>
          <w:rFonts w:ascii="FontRegular" w:eastAsia="Times New Roman" w:hAnsi="Font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7AD0E97" wp14:editId="75159A95">
            <wp:extent cx="5882640" cy="861060"/>
            <wp:effectExtent l="0" t="0" r="3810" b="0"/>
            <wp:docPr id="1" name="Рисунок 1" descr="https://pay.game-keeper.com/images/gk-paysys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y.game-keeper.com/images/gk-paysyste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2A" w:rsidRDefault="00573C02" w:rsidP="00D515DC">
      <w:pPr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интернет-платежей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Verifie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By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Visa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MasterCard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SecureCode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для проведения платежа также может потребоваться ввод специального пароля. 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Visa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Int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MasterCard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Europe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Sprl.</w:t>
      </w:r>
      <w:proofErr w:type="spellEnd"/>
    </w:p>
    <w:p w:rsidR="0052252A" w:rsidRDefault="00573C02" w:rsidP="00D515DC">
      <w:pPr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При оплате банковскими картами комиссия не взимается. Предоставляемая вами персональная информация (имя, адрес, телефон, e-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mail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номер кредитной карты) является конфиденциальной и не подлежит разглашению. Данные вашей кредитной карты передаются только в зашифрованном виде и не сохраняются 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нашем </w:t>
      </w:r>
      <w:proofErr w:type="spell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Web</w:t>
      </w:r>
      <w:proofErr w:type="spell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-сервере.</w:t>
      </w:r>
    </w:p>
    <w:p w:rsidR="0052252A" w:rsidRDefault="00573C02" w:rsidP="00D515DC">
      <w:pPr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>Порядок возврата денежных сре</w:t>
      </w:r>
      <w:proofErr w:type="gramStart"/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>дств с пл</w:t>
      </w:r>
      <w:proofErr w:type="gramEnd"/>
      <w:r w:rsidRPr="00573C02">
        <w:rPr>
          <w:rFonts w:ascii="FontRegular" w:eastAsia="Times New Roman" w:hAnsi="FontRegular" w:cs="Times New Roman"/>
          <w:b/>
          <w:bCs/>
          <w:color w:val="000000"/>
          <w:sz w:val="27"/>
          <w:szCs w:val="27"/>
          <w:lang w:eastAsia="ru-RU"/>
        </w:rPr>
        <w:t>атежных карт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1. Оформление возврата остатка неиспользованных денежных сре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дств вл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адельцу платежной карты осуществляется в касс</w:t>
      </w:r>
      <w:r w:rsidR="0052252A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е, установленной на территории П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арка, при наличии непосредственно самой карты и паспорта гражданина РФ, либо иного документа удостоверяющего личность. Возврат 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производится в той форме, в которой были внесены денежные средства на платежную карту (наличной или безналичной).</w:t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2. Заявление на возврат оформляется в письменной форме и подается Владельцем платежной карты в любой день в рамках установленного режима работы Парка в кассу. Бланк указанного заявления предоставляется владельцу платежной карты по первому требованию.</w:t>
      </w:r>
    </w:p>
    <w:p w:rsidR="00E9057A" w:rsidRDefault="00573C02" w:rsidP="00D515DC">
      <w:pPr>
        <w:jc w:val="both"/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3. Возврат денежных средств осуществляется в соответствии с действующим законодательством РФ и производится в срок не позднее 30 календарных дней с момента подачи владельцем платежной карты заявления о возврате. Если последний день, когда должен быть произведен возврат, попадает на выходной или праздничный день, то возврат должен быть произведен в первый рабочий день за выходным (праздничным) днем. Администрация Парка не несет ответственности за просрочку получения возвращаемых денежных сре</w:t>
      </w:r>
      <w:proofErr w:type="gramStart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дств вл</w:t>
      </w:r>
      <w:proofErr w:type="gramEnd"/>
      <w:r w:rsidRPr="00573C02">
        <w:rPr>
          <w:rFonts w:ascii="FontRegular" w:eastAsia="Times New Roman" w:hAnsi="FontRegular" w:cs="Times New Roman"/>
          <w:color w:val="000000"/>
          <w:sz w:val="27"/>
          <w:szCs w:val="27"/>
          <w:shd w:val="clear" w:color="auto" w:fill="FFFFFF"/>
          <w:lang w:eastAsia="ru-RU"/>
        </w:rPr>
        <w:t>адельцу платежной карты.</w:t>
      </w:r>
    </w:p>
    <w:p w:rsidR="000448AD" w:rsidRPr="00554549" w:rsidRDefault="00573C02" w:rsidP="00D515D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73C02">
        <w:rPr>
          <w:rFonts w:ascii="FontRegular" w:eastAsia="Times New Roman" w:hAnsi="FontRegular" w:cs="Times New Roman"/>
          <w:color w:val="000000"/>
          <w:sz w:val="27"/>
          <w:szCs w:val="27"/>
          <w:lang w:eastAsia="ru-RU"/>
        </w:rPr>
        <w:br/>
      </w:r>
      <w:r w:rsidRPr="00554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  <w:r w:rsidR="00554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54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Фактический адрес:</w:t>
      </w:r>
      <w:r w:rsidR="00554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="00554549" w:rsidRPr="00554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ород Волгоград, улица Батальонная, 4</w:t>
      </w:r>
    </w:p>
    <w:p w:rsidR="000448AD" w:rsidRPr="00554549" w:rsidRDefault="00573C02" w:rsidP="00D515D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4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Электронная почта:</w:t>
      </w:r>
      <w:r w:rsidR="00554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54549" w:rsidRPr="00554549">
        <w:rPr>
          <w:rFonts w:ascii="Times New Roman" w:hAnsi="Times New Roman" w:cs="Times New Roman"/>
          <w:b/>
          <w:sz w:val="24"/>
          <w:szCs w:val="24"/>
          <w:lang w:val="en-US"/>
        </w:rPr>
        <w:t>Buh</w:t>
      </w:r>
      <w:r w:rsidR="00554549" w:rsidRPr="00554549">
        <w:rPr>
          <w:rFonts w:ascii="Times New Roman" w:hAnsi="Times New Roman" w:cs="Times New Roman"/>
          <w:b/>
          <w:sz w:val="24"/>
          <w:szCs w:val="24"/>
        </w:rPr>
        <w:t>.</w:t>
      </w:r>
      <w:r w:rsidR="00554549" w:rsidRPr="00554549">
        <w:rPr>
          <w:rFonts w:ascii="Times New Roman" w:hAnsi="Times New Roman" w:cs="Times New Roman"/>
          <w:b/>
          <w:sz w:val="24"/>
          <w:szCs w:val="24"/>
          <w:lang w:val="en-US"/>
        </w:rPr>
        <w:t>park</w:t>
      </w:r>
      <w:r w:rsidR="00554549" w:rsidRPr="00554549">
        <w:rPr>
          <w:rFonts w:ascii="Times New Roman" w:hAnsi="Times New Roman" w:cs="Times New Roman"/>
          <w:b/>
          <w:sz w:val="24"/>
          <w:szCs w:val="24"/>
        </w:rPr>
        <w:t>@</w:t>
      </w:r>
      <w:r w:rsidR="00554549" w:rsidRPr="0055454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54549" w:rsidRPr="0055454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54549" w:rsidRPr="0055454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670F0" w:rsidRPr="00554549" w:rsidRDefault="00573C02" w:rsidP="005545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</w:t>
      </w:r>
      <w:r w:rsidR="00554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="00554549" w:rsidRPr="0055454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554549" w:rsidRPr="00554549">
        <w:rPr>
          <w:rFonts w:ascii="Times New Roman" w:hAnsi="Times New Roman" w:cs="Times New Roman"/>
          <w:b/>
          <w:sz w:val="24"/>
          <w:szCs w:val="24"/>
        </w:rPr>
        <w:t>/с 40702810111000010485  в ВОЛГОГРАДСКОЕ ОТДЕЛЕНИЕ №8621 ПАО СБЕРБАНК Г. ВОЛГОГРАД</w:t>
      </w:r>
      <w:r w:rsidR="005545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54549" w:rsidRPr="00554549">
        <w:rPr>
          <w:rFonts w:ascii="Times New Roman" w:hAnsi="Times New Roman" w:cs="Times New Roman"/>
          <w:b/>
          <w:sz w:val="24"/>
          <w:szCs w:val="24"/>
        </w:rPr>
        <w:t xml:space="preserve">БИК 041806647 </w:t>
      </w:r>
      <w:proofErr w:type="spellStart"/>
      <w:r w:rsidR="00554549" w:rsidRPr="00554549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="00554549" w:rsidRPr="00554549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554549" w:rsidRPr="00554549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554549" w:rsidRPr="00554549">
        <w:rPr>
          <w:rFonts w:ascii="Times New Roman" w:hAnsi="Times New Roman" w:cs="Times New Roman"/>
          <w:b/>
          <w:sz w:val="24"/>
          <w:szCs w:val="24"/>
        </w:rPr>
        <w:t xml:space="preserve"> 30101810100000000647</w:t>
      </w:r>
    </w:p>
    <w:sectPr w:rsidR="00E670F0" w:rsidRPr="005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C4"/>
    <w:rsid w:val="000448AD"/>
    <w:rsid w:val="000D7BCB"/>
    <w:rsid w:val="00224492"/>
    <w:rsid w:val="00255B9F"/>
    <w:rsid w:val="00292FBA"/>
    <w:rsid w:val="0031482A"/>
    <w:rsid w:val="003C5997"/>
    <w:rsid w:val="003D632D"/>
    <w:rsid w:val="0052252A"/>
    <w:rsid w:val="00554549"/>
    <w:rsid w:val="00573C02"/>
    <w:rsid w:val="005935F1"/>
    <w:rsid w:val="005A2FEE"/>
    <w:rsid w:val="00635CE2"/>
    <w:rsid w:val="00642FDD"/>
    <w:rsid w:val="006A7C34"/>
    <w:rsid w:val="006B4E43"/>
    <w:rsid w:val="00962043"/>
    <w:rsid w:val="009E4D05"/>
    <w:rsid w:val="00AC6CE4"/>
    <w:rsid w:val="00C06BA6"/>
    <w:rsid w:val="00CB7CC4"/>
    <w:rsid w:val="00CD6C62"/>
    <w:rsid w:val="00D50FA2"/>
    <w:rsid w:val="00D515DC"/>
    <w:rsid w:val="00D835F0"/>
    <w:rsid w:val="00E670F0"/>
    <w:rsid w:val="00E9057A"/>
    <w:rsid w:val="00ED330C"/>
    <w:rsid w:val="00F1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0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962043"/>
    <w:pPr>
      <w:widowControl w:val="0"/>
      <w:autoSpaceDE w:val="0"/>
      <w:autoSpaceDN w:val="0"/>
      <w:spacing w:after="0" w:line="240" w:lineRule="auto"/>
      <w:ind w:left="851" w:hanging="720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table" w:styleId="a6">
    <w:name w:val="Table Grid"/>
    <w:basedOn w:val="a1"/>
    <w:uiPriority w:val="59"/>
    <w:rsid w:val="0055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0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962043"/>
    <w:pPr>
      <w:widowControl w:val="0"/>
      <w:autoSpaceDE w:val="0"/>
      <w:autoSpaceDN w:val="0"/>
      <w:spacing w:after="0" w:line="240" w:lineRule="auto"/>
      <w:ind w:left="851" w:hanging="720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table" w:styleId="a6">
    <w:name w:val="Table Grid"/>
    <w:basedOn w:val="a1"/>
    <w:uiPriority w:val="59"/>
    <w:rsid w:val="0055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1885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2023-09-19T09:58:00Z</dcterms:created>
  <dcterms:modified xsi:type="dcterms:W3CDTF">2023-09-19T12:19:00Z</dcterms:modified>
</cp:coreProperties>
</file>